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2"/>
        <w:gridCol w:w="3354"/>
        <w:gridCol w:w="3356"/>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w:t>
            </w:r>
            <w:r w:rsidR="00185B1F">
              <w:rPr>
                <w:rFonts w:asciiTheme="minorEastAsia" w:hAnsiTheme="minorEastAsia" w:hint="eastAsia"/>
                <w:b/>
                <w:color w:val="000000" w:themeColor="text1"/>
                <w:sz w:val="20"/>
                <w:szCs w:val="20"/>
              </w:rPr>
              <w:t>(</w:t>
            </w:r>
            <w:r w:rsidRPr="00A37E6C">
              <w:rPr>
                <w:rFonts w:asciiTheme="minorEastAsia" w:hAnsiTheme="minorEastAsia" w:hint="eastAsia"/>
                <w:b/>
                <w:color w:val="000000" w:themeColor="text1"/>
                <w:sz w:val="20"/>
                <w:szCs w:val="20"/>
              </w:rPr>
              <w:t>今後の方針</w:t>
            </w:r>
            <w:r w:rsidR="00185B1F">
              <w:rPr>
                <w:rFonts w:asciiTheme="minorEastAsia" w:hAnsiTheme="minorEastAsia" w:hint="eastAsia"/>
                <w:b/>
                <w:color w:val="000000" w:themeColor="text1"/>
                <w:sz w:val="20"/>
                <w:szCs w:val="20"/>
              </w:rPr>
              <w:t>)</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185B1F" w:rsidRDefault="00185B1F" w:rsidP="00DB4A5E">
      <w:pPr>
        <w:spacing w:line="400" w:lineRule="atLeast"/>
        <w:jc w:val="right"/>
        <w:rPr>
          <w:rFonts w:asciiTheme="minorEastAsia" w:hAnsiTheme="minorEastAsia"/>
          <w:color w:val="000000" w:themeColor="text1"/>
          <w:sz w:val="22"/>
        </w:rPr>
      </w:pPr>
    </w:p>
    <w:p w:rsidR="00E1666C" w:rsidRDefault="00213057" w:rsidP="00DB4A5E">
      <w:pPr>
        <w:spacing w:line="400" w:lineRule="atLeast"/>
        <w:jc w:val="right"/>
        <w:rPr>
          <w:rFonts w:asciiTheme="minorEastAsia" w:hAnsiTheme="minorEastAsia"/>
          <w:color w:val="000000" w:themeColor="text1"/>
          <w:sz w:val="22"/>
        </w:rPr>
      </w:pPr>
      <w:bookmarkStart w:id="0" w:name="_GoBack"/>
      <w:bookmarkEnd w:id="0"/>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w:t>
      </w:r>
      <w:r w:rsidR="009C446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lastRenderedPageBreak/>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w:t>
      </w:r>
      <w:r w:rsidR="009C4469">
        <w:rPr>
          <w:rFonts w:ascii="ＭＳ 明朝" w:hAnsi="ＭＳ 明朝" w:hint="eastAsia"/>
          <w:b/>
          <w:sz w:val="22"/>
        </w:rPr>
        <w:t>～</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76951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6280"/>
      <w:docPartObj>
        <w:docPartGallery w:val="Page Numbers (Bottom of Page)"/>
        <w:docPartUnique/>
      </w:docPartObj>
    </w:sdtPr>
    <w:sdtEnd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4472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23</w:t>
        </w:r>
        <w:r>
          <w:fldChar w:fldCharType="end"/>
        </w:r>
      </w:p>
    </w:sdtContent>
  </w:sdt>
  <w:p w:rsidR="00213057" w:rsidRDefault="0021305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81450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23225"/>
      <w:docPartObj>
        <w:docPartGallery w:val="Page Numbers (Bottom of Page)"/>
        <w:docPartUnique/>
      </w:docPartObj>
    </w:sdtPr>
    <w:sdtEnd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972274"/>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5B1F"/>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469"/>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B73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50CC-02BF-4AFA-90B5-80299851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2870</Words>
  <Characters>16361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2018-03-08T05:44:00Z</dcterms:created>
  <dcterms:modified xsi:type="dcterms:W3CDTF">2018-03-09T06:12:00Z</dcterms:modified>
</cp:coreProperties>
</file>